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F3756">
      <w:pPr>
        <w:widowControl/>
        <w:jc w:val="left"/>
        <w:rPr>
          <w:rFonts w:ascii="方正小标宋简体" w:hAnsi="宋体" w:eastAsia="方正小标宋简体" w:cs="Times New Roman"/>
          <w:b/>
          <w:bCs/>
          <w:color w:val="000000"/>
          <w:spacing w:val="-6"/>
          <w:kern w:val="44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-6"/>
          <w:kern w:val="44"/>
          <w:sz w:val="32"/>
          <w:szCs w:val="32"/>
          <w14:ligatures w14:val="none"/>
        </w:rPr>
        <w:t>附件1</w:t>
      </w:r>
    </w:p>
    <w:p w14:paraId="640E2D53">
      <w:pPr>
        <w:keepNext/>
        <w:keepLines/>
        <w:autoSpaceDE w:val="0"/>
        <w:spacing w:before="340" w:after="330" w:line="320" w:lineRule="exact"/>
        <w:jc w:val="center"/>
        <w:outlineLvl w:val="0"/>
        <w:rPr>
          <w:rFonts w:hint="eastAsia" w:ascii="方正小标宋简体" w:hAnsi="宋体" w:eastAsia="方正小标宋简体" w:cs="Times New Roman"/>
          <w:b/>
          <w:bCs/>
          <w:color w:val="000000"/>
          <w:spacing w:val="-6"/>
          <w:kern w:val="44"/>
          <w:sz w:val="36"/>
          <w:szCs w:val="36"/>
          <w14:ligatures w14:val="none"/>
        </w:rPr>
      </w:pPr>
      <w:r>
        <w:rPr>
          <w:rFonts w:hint="eastAsia" w:ascii="方正小标宋简体" w:hAnsi="宋体" w:eastAsia="方正小标宋简体" w:cs="Times New Roman"/>
          <w:b/>
          <w:bCs/>
          <w:color w:val="000000"/>
          <w:spacing w:val="-6"/>
          <w:kern w:val="44"/>
          <w:sz w:val="36"/>
          <w:szCs w:val="36"/>
          <w14:ligatures w14:val="none"/>
        </w:rPr>
        <w:t xml:space="preserve">  评审办法及评分标准</w:t>
      </w:r>
    </w:p>
    <w:p w14:paraId="7C7E7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sz w:val="30"/>
          <w:szCs w:val="30"/>
          <w14:ligatures w14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14:ligatures w14:val="none"/>
        </w:rPr>
        <w:t>一、总则</w:t>
      </w:r>
    </w:p>
    <w:p w14:paraId="2B8FF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</w:pP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本次评审采用</w:t>
      </w:r>
      <w:r>
        <w:rPr>
          <w:rFonts w:hint="eastAsia" w:ascii="仿宋" w:hAnsi="仿宋" w:eastAsia="仿宋" w:cs="宋体"/>
          <w:b/>
          <w:bCs/>
          <w:color w:val="000000"/>
          <w:spacing w:val="-6"/>
          <w:sz w:val="30"/>
          <w:szCs w:val="30"/>
          <w14:ligatures w14:val="none"/>
        </w:rPr>
        <w:t>综合评分法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，总分为100分。合格响应供应商的评审得分为各项目汇总得分，根据综合评分情况，成交候选人资格按照评审得分由高到低顺序排列，评审得分相同的，按照技术指标优劣顺序排列。评分过程中采用四舍五入法，并保留小数2位。</w:t>
      </w:r>
    </w:p>
    <w:p w14:paraId="5DC63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</w:pP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响应供应商评审综合得分=商务分+技术分+价格分</w:t>
      </w:r>
    </w:p>
    <w:p w14:paraId="75447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</w:pP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商务分、技术分按照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:lang w:val="en-US" w:eastAsia="zh-CN"/>
          <w14:ligatures w14:val="none"/>
        </w:rPr>
        <w:t>评审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小组成员的独立评分结果的算术平均分计算，计算公式为：商务、技术分=（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:lang w:val="en-US" w:eastAsia="zh-CN"/>
          <w14:ligatures w14:val="none"/>
        </w:rPr>
        <w:t>评审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小组所有成员评分合计数）/（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:lang w:val="en-US" w:eastAsia="zh-CN"/>
          <w14:ligatures w14:val="none"/>
        </w:rPr>
        <w:t>评审</w:t>
      </w:r>
      <w:r>
        <w:rPr>
          <w:rFonts w:hint="eastAsia" w:ascii="仿宋" w:hAnsi="仿宋" w:eastAsia="仿宋" w:cs="宋体"/>
          <w:color w:val="000000"/>
          <w:spacing w:val="-6"/>
          <w:sz w:val="30"/>
          <w:szCs w:val="30"/>
          <w14:ligatures w14:val="none"/>
        </w:rPr>
        <w:t>小组组成人员数）</w:t>
      </w:r>
    </w:p>
    <w:p w14:paraId="021B2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金山简黑体" w:hAnsi="金山简黑体" w:eastAsia="宋体" w:cs="宋体"/>
          <w:b/>
          <w:bCs/>
          <w:spacing w:val="-8"/>
          <w:sz w:val="44"/>
          <w:szCs w:val="44"/>
          <w14:ligatures w14:val="none"/>
        </w:rPr>
      </w:pPr>
      <w:r>
        <w:rPr>
          <w:rFonts w:ascii="金山简黑体" w:hAnsi="金山简黑体" w:eastAsia="宋体" w:cs="宋体"/>
          <w:b/>
          <w:bCs/>
          <w:spacing w:val="-8"/>
          <w:sz w:val="44"/>
          <w:szCs w:val="44"/>
          <w14:ligatures w14:val="none"/>
        </w:rPr>
        <w:t xml:space="preserve"> </w:t>
      </w:r>
    </w:p>
    <w:p w14:paraId="46A47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宋体" w:cs="宋体"/>
          <w:b/>
          <w:bCs/>
          <w:sz w:val="30"/>
          <w:szCs w:val="30"/>
          <w14:ligatures w14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14:ligatures w14:val="none"/>
        </w:rPr>
        <w:t>二、评审内容及评分标准</w:t>
      </w:r>
    </w:p>
    <w:p w14:paraId="36BBB9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宋体"/>
          <w:b/>
          <w:bCs/>
          <w:color w:val="000000"/>
          <w:sz w:val="30"/>
          <w:szCs w:val="30"/>
          <w14:ligatures w14:val="none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14:ligatures w14:val="none"/>
        </w:rPr>
        <w:t>（一）价格分（30分）</w:t>
      </w:r>
    </w:p>
    <w:p w14:paraId="2446C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14:ligatures w14:val="none"/>
        </w:rPr>
      </w:pPr>
      <w:r>
        <w:rPr>
          <w:rFonts w:hint="eastAsia" w:ascii="仿宋" w:hAnsi="仿宋" w:eastAsia="仿宋" w:cs="宋体"/>
          <w:sz w:val="30"/>
          <w:szCs w:val="30"/>
          <w14:ligatures w14:val="none"/>
        </w:rPr>
        <w:t>价格分计算方法：满足</w:t>
      </w:r>
      <w:r>
        <w:rPr>
          <w:rFonts w:hint="eastAsia" w:ascii="仿宋" w:hAnsi="仿宋" w:eastAsia="仿宋" w:cs="宋体"/>
          <w:sz w:val="30"/>
          <w:szCs w:val="30"/>
          <w:lang w:val="en-US" w:eastAsia="zh-CN"/>
          <w14:ligatures w14:val="none"/>
        </w:rPr>
        <w:t>响应</w:t>
      </w:r>
      <w:r>
        <w:rPr>
          <w:rFonts w:hint="eastAsia" w:ascii="仿宋" w:hAnsi="仿宋" w:eastAsia="仿宋" w:cs="宋体"/>
          <w:sz w:val="30"/>
          <w:szCs w:val="30"/>
          <w14:ligatures w14:val="none"/>
        </w:rPr>
        <w:t>文件要求的最终</w:t>
      </w:r>
      <w:r>
        <w:rPr>
          <w:rFonts w:hint="eastAsia" w:ascii="仿宋" w:hAnsi="仿宋" w:eastAsia="仿宋" w:cs="宋体"/>
          <w:kern w:val="0"/>
          <w:sz w:val="30"/>
          <w:szCs w:val="30"/>
          <w14:ligatures w14:val="none"/>
        </w:rPr>
        <w:t>有效报价的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14:ligatures w14:val="none"/>
        </w:rPr>
        <w:t>最低价作为评审基准价</w:t>
      </w:r>
      <w:r>
        <w:rPr>
          <w:rFonts w:hint="eastAsia" w:ascii="仿宋" w:hAnsi="仿宋" w:eastAsia="仿宋" w:cs="宋体"/>
          <w:kern w:val="0"/>
          <w:sz w:val="30"/>
          <w:szCs w:val="30"/>
          <w14:ligatures w14:val="none"/>
        </w:rPr>
        <w:t>，其最低报价为满分；其他供应商的价格分按［报价得分=（评审基准价/最终报价）*30%*100/］的计算公式计算。</w:t>
      </w:r>
    </w:p>
    <w:p w14:paraId="7F9CA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14:ligatures w14:val="none"/>
        </w:rPr>
      </w:pPr>
      <w:r>
        <w:rPr>
          <w:rFonts w:hint="eastAsia" w:ascii="仿宋" w:hAnsi="仿宋" w:eastAsia="仿宋" w:cs="宋体"/>
          <w:sz w:val="30"/>
          <w:szCs w:val="30"/>
          <w14:ligatures w14:val="none"/>
        </w:rPr>
        <w:t>评审过程中，不得去掉报价中的最高报价和最低报价。</w:t>
      </w:r>
    </w:p>
    <w:p w14:paraId="7B798D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none"/>
        </w:rPr>
        <w:sectPr>
          <w:pgSz w:w="11906" w:h="16838"/>
          <w:pgMar w:top="1247" w:right="1247" w:bottom="1247" w:left="1247" w:header="170" w:footer="567" w:gutter="0"/>
          <w:cols w:space="720" w:num="1"/>
          <w:docGrid w:type="lines" w:linePitch="381" w:charSpace="0"/>
        </w:sectPr>
      </w:pPr>
    </w:p>
    <w:p w14:paraId="45FD4E14">
      <w:pPr>
        <w:spacing w:line="500" w:lineRule="exact"/>
        <w:rPr>
          <w:rFonts w:hint="eastAsia" w:ascii="宋体" w:hAnsi="宋体" w:eastAsia="宋体" w:cs="宋体"/>
          <w:b/>
          <w:bCs/>
          <w:sz w:val="30"/>
          <w:szCs w:val="30"/>
          <w14:ligatures w14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14:ligatures w14:val="none"/>
        </w:rPr>
        <w:t>（二）商务、技术分（70分）</w:t>
      </w:r>
    </w:p>
    <w:p w14:paraId="23531F74">
      <w:pPr>
        <w:rPr>
          <w:rFonts w:hint="eastAsia" w:ascii="Times New Roman" w:hAnsi="Times New Roman" w:eastAsia="宋体" w:cs="宋体"/>
          <w:sz w:val="13"/>
          <w:szCs w:val="13"/>
          <w14:ligatures w14:val="none"/>
        </w:rPr>
      </w:pPr>
      <w:r>
        <w:rPr>
          <w:rFonts w:hint="eastAsia" w:ascii="Times New Roman" w:hAnsi="Times New Roman" w:eastAsia="宋体" w:cs="宋体"/>
          <w:sz w:val="13"/>
          <w:szCs w:val="13"/>
          <w14:ligatures w14:val="none"/>
        </w:rPr>
        <w:t xml:space="preserve"> </w:t>
      </w:r>
    </w:p>
    <w:tbl>
      <w:tblPr>
        <w:tblStyle w:val="20"/>
        <w:tblW w:w="998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84"/>
        <w:gridCol w:w="7228"/>
        <w:gridCol w:w="729"/>
      </w:tblGrid>
      <w:tr w14:paraId="4595A8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57EBD">
            <w:pPr>
              <w:spacing w:line="288" w:lineRule="auto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  <w:t>商务、技术评分表（70分）</w:t>
            </w:r>
          </w:p>
        </w:tc>
      </w:tr>
      <w:tr w14:paraId="511383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62F0">
            <w:pPr>
              <w:autoSpaceDE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E4C7A5">
            <w:pPr>
              <w:autoSpaceDE w:val="0"/>
              <w:spacing w:line="360" w:lineRule="exact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  <w:t>评审因素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8F8FA4">
            <w:pPr>
              <w:autoSpaceDE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  <w:t>评分标准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79ACA2">
            <w:pPr>
              <w:autoSpaceDE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  <w:t>分值</w:t>
            </w:r>
          </w:p>
        </w:tc>
      </w:tr>
      <w:tr w14:paraId="5DA455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A797F">
            <w:pPr>
              <w:autoSpaceDE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39C5AEB">
            <w:pPr>
              <w:autoSpaceDE w:val="0"/>
              <w:spacing w:line="360" w:lineRule="exact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资质证书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AC3633">
            <w:pPr>
              <w:autoSpaceDE w:val="0"/>
              <w:spacing w:line="380" w:lineRule="exact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（1）印刷资质（0-6分）</w:t>
            </w:r>
          </w:p>
          <w:p w14:paraId="50A40B05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1）具有出版物印刷资质，得6分；</w:t>
            </w:r>
          </w:p>
          <w:p w14:paraId="4FFC841E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2）具有包装装潢印刷资质，得4分；</w:t>
            </w:r>
          </w:p>
          <w:p w14:paraId="2EA06B2A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3）具有其它印刷品印刷资质，得2分。</w:t>
            </w:r>
          </w:p>
          <w:p w14:paraId="4FE071B3">
            <w:pPr>
              <w:autoSpaceDE w:val="0"/>
              <w:spacing w:line="380" w:lineRule="exact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（2）其他相关资质（0-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分）</w:t>
            </w:r>
          </w:p>
          <w:p w14:paraId="1CC7B91C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具有保密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印刷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资质的，得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分。</w:t>
            </w:r>
          </w:p>
          <w:p w14:paraId="7D5A0B96">
            <w:pPr>
              <w:autoSpaceDE w:val="0"/>
              <w:ind w:firstLine="450" w:firstLineChars="200"/>
              <w:rPr>
                <w:rFonts w:ascii="Times New Roman" w:hAnsi="Times New Roman" w:eastAsia="仿宋" w:cs="Times New Roman"/>
                <w:b/>
                <w:bCs/>
                <w:spacing w:val="-8"/>
                <w:sz w:val="44"/>
                <w:szCs w:val="4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24"/>
                <w:szCs w:val="24"/>
                <w14:ligatures w14:val="none"/>
              </w:rPr>
              <w:t>须提供相关证书扫描件并加盖单位公章，否则不得分。</w:t>
            </w:r>
          </w:p>
          <w:p w14:paraId="231C14D0">
            <w:pPr>
              <w:autoSpaceDE w:val="0"/>
              <w:ind w:left="1050"/>
              <w:rPr>
                <w:rFonts w:ascii="Times New Roman" w:hAnsi="Times New Roman" w:eastAsia="仿宋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94BA081">
            <w:pPr>
              <w:autoSpaceDE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分</w:t>
            </w:r>
          </w:p>
        </w:tc>
      </w:tr>
      <w:tr w14:paraId="4B3404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A4FDF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5332C9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类似业绩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7DB267C">
            <w:pPr>
              <w:autoSpaceDE w:val="0"/>
              <w:spacing w:line="380" w:lineRule="exact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供应商自2022年1月1日至今（以合同签订时间为准），承接过的同类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印刷品及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宣传物料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制作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服务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项目或大型活动印刷物及物料制作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项目，每提供一个有效业绩得2分，最高得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0分。未提供的不得分。</w:t>
            </w:r>
          </w:p>
          <w:p w14:paraId="7A0393D1">
            <w:pPr>
              <w:autoSpaceDE w:val="0"/>
              <w:spacing w:line="380" w:lineRule="exact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须提供合同扫描件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  <w14:ligatures w14:val="none"/>
              </w:rPr>
              <w:t>需含项目名称、服务对象、金额、盖章页等关键页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）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并加盖单位公章，否则不得分。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6AA6113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20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分</w:t>
            </w:r>
          </w:p>
        </w:tc>
      </w:tr>
      <w:tr w14:paraId="1BF020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B40C8D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164FE8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服务团队人员配置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1E9CE3">
            <w:pPr>
              <w:autoSpaceDE w:val="0"/>
              <w:spacing w:line="380" w:lineRule="exact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（1）项目负责人情况（0-5分）：</w:t>
            </w:r>
          </w:p>
          <w:p w14:paraId="5299AE04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1）综合实力、技术能力、专业水平优秀的，得5分；</w:t>
            </w:r>
          </w:p>
          <w:p w14:paraId="5C66173F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2）综合实力、技术能力、专业水平一般的，得3分；</w:t>
            </w:r>
          </w:p>
          <w:p w14:paraId="39F8056F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3）综合实力、技术能力、专业水平较差的，得1分。</w:t>
            </w:r>
          </w:p>
          <w:p w14:paraId="0DD1E45B">
            <w:pPr>
              <w:autoSpaceDE w:val="0"/>
              <w:spacing w:line="380" w:lineRule="exact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（2）其他人员配置情况（0-5分）：</w:t>
            </w:r>
          </w:p>
          <w:p w14:paraId="4F778B87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1）拟投入本项目的人员配置齐全、岗位设置合理、技术力量和人力资源安排充足、能完全满足项目需求的，得5分；</w:t>
            </w:r>
          </w:p>
          <w:p w14:paraId="1E8AD32D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2）人员配置不全、岗位设置有缺漏、技术力量和人力资源安排不充足、不能完全满足项目需求的，每项扣1分，扣完本项得分为止。</w:t>
            </w:r>
          </w:p>
          <w:p w14:paraId="36F990AF">
            <w:pPr>
              <w:autoSpaceDE w:val="0"/>
              <w:spacing w:line="380" w:lineRule="exact"/>
              <w:ind w:firstLine="482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提供投入本项目服务团队人员名单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，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  <w14:ligatures w14:val="none"/>
              </w:rPr>
              <w:t>需提供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相关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  <w14:ligatures w14:val="none"/>
              </w:rPr>
              <w:t>人员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证书扫描件、近三个月内任意一个月的社保缴纳证明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，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  <w14:ligatures w14:val="none"/>
              </w:rPr>
              <w:t>否则不得分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。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D295370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10分</w:t>
            </w:r>
          </w:p>
        </w:tc>
      </w:tr>
      <w:tr w14:paraId="214CE8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30F0E9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A9B2BA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设备配置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E850088">
            <w:pPr>
              <w:autoSpaceDE w:val="0"/>
              <w:spacing w:line="380" w:lineRule="exact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制作宣传物料所需设备的配置情况：</w:t>
            </w:r>
          </w:p>
          <w:p w14:paraId="2268A2F8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1）设备配置齐全，能完全满足项目需求的，得5分；</w:t>
            </w:r>
          </w:p>
          <w:p w14:paraId="47757344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2）设备配置较齐全，能基本满足项目需求的，得3-4分；</w:t>
            </w:r>
          </w:p>
          <w:p w14:paraId="01E0CCCF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3）设备配置一般的，得1-2分。</w:t>
            </w:r>
          </w:p>
          <w:p w14:paraId="64C7A0C0">
            <w:pPr>
              <w:autoSpaceDE w:val="0"/>
              <w:spacing w:line="380" w:lineRule="exact"/>
              <w:ind w:firstLine="482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须提供设备配置清单及购置凭证或租赁合同等有效证明材料。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023DE6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5分</w:t>
            </w:r>
          </w:p>
        </w:tc>
      </w:tr>
      <w:tr w14:paraId="272AB7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8E12A7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D489453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本地化服务能力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C182496">
            <w:pPr>
              <w:autoSpaceDE w:val="0"/>
              <w:spacing w:line="380" w:lineRule="exact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供应商办公场所与采购单位之间的距离在方圆10公里（包括）以内的得5分；距离超过10公里的不得分（距离按照高德地图中以供应商办公场所为起点，以湖州市西塞山路819号为终点计算）。</w:t>
            </w:r>
          </w:p>
          <w:p w14:paraId="52678730">
            <w:pPr>
              <w:autoSpaceDE w:val="0"/>
              <w:spacing w:line="380" w:lineRule="exact"/>
              <w:ind w:firstLine="482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提供办公场所房屋产权证或租赁合同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、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高德路线导航截图，未提供不得分。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475829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5分</w:t>
            </w:r>
          </w:p>
        </w:tc>
      </w:tr>
      <w:tr w14:paraId="77088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FB6971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414ABD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售后服务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472265A">
            <w:pPr>
              <w:autoSpaceDE w:val="0"/>
              <w:spacing w:line="380" w:lineRule="exact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供应商根据采购文件要求制定相应的售后服务方案（包括售后服务内容、售后服务响应时间等）：</w:t>
            </w:r>
          </w:p>
          <w:p w14:paraId="77A5BAC1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1）方案内容全面、合理、时效性强的，得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分；</w:t>
            </w:r>
          </w:p>
          <w:p w14:paraId="34808853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2）方案内容较详细且基本可行的，得3分；</w:t>
            </w:r>
          </w:p>
          <w:p w14:paraId="5D0BFD49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3）方案内容一般的，得2分；</w:t>
            </w:r>
          </w:p>
          <w:p w14:paraId="3712DF0F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4）方案内容有明显瑕疵的，得1分。</w:t>
            </w:r>
          </w:p>
          <w:p w14:paraId="2BA50E47">
            <w:pPr>
              <w:autoSpaceDE w:val="0"/>
              <w:spacing w:line="380" w:lineRule="exact"/>
              <w:ind w:firstLine="482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未提供相关内容的不得分。</w:t>
            </w: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1345CB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分</w:t>
            </w:r>
          </w:p>
        </w:tc>
      </w:tr>
      <w:tr w14:paraId="33D9BC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40045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DADD50A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样品分</w:t>
            </w:r>
          </w:p>
        </w:tc>
        <w:tc>
          <w:tcPr>
            <w:tcW w:w="72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CEBE6A">
            <w:pPr>
              <w:autoSpaceDE w:val="0"/>
              <w:spacing w:line="380" w:lineRule="exact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4"/>
                <w:szCs w:val="24"/>
                <w14:ligatures w14:val="none"/>
              </w:rPr>
              <w:t>供应商须提供制作过的企业或产品宣传册3份作为本项目的样品，不限定宣传册的内容，只要提供自评为优秀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pacing w:val="-6"/>
                <w:sz w:val="24"/>
                <w:szCs w:val="24"/>
                <w14:ligatures w14:val="none"/>
              </w:rPr>
              <w:t>的作品即可。</w:t>
            </w:r>
            <w:r>
              <w:rPr>
                <w:rFonts w:hint="eastAsia" w:ascii="Times New Roman" w:hAnsi="Times New Roman" w:eastAsia="仿宋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评审</w:t>
            </w:r>
            <w:r>
              <w:rPr>
                <w:rFonts w:ascii="Times New Roman" w:hAnsi="Times New Roman" w:eastAsia="仿宋" w:cs="Times New Roman"/>
                <w:spacing w:val="-6"/>
                <w:sz w:val="24"/>
                <w:szCs w:val="24"/>
                <w14:ligatures w14:val="none"/>
              </w:rPr>
              <w:t>小组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根据以下四个方面进行评审打分：</w:t>
            </w:r>
          </w:p>
          <w:p w14:paraId="5A17EC78">
            <w:pPr>
              <w:autoSpaceDE w:val="0"/>
              <w:spacing w:line="380" w:lineRule="exact"/>
              <w:ind w:firstLine="456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4"/>
                <w:szCs w:val="24"/>
                <w14:ligatures w14:val="none"/>
              </w:rPr>
              <w:t>1）宣传册的外观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：0-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分；</w:t>
            </w:r>
          </w:p>
          <w:p w14:paraId="0633BBC0">
            <w:pPr>
              <w:autoSpaceDE w:val="0"/>
              <w:spacing w:line="380" w:lineRule="exact"/>
              <w:ind w:firstLine="456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4"/>
                <w:szCs w:val="24"/>
                <w14:ligatures w14:val="none"/>
              </w:rPr>
              <w:t>2）设计理念及设计风格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：0-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分；</w:t>
            </w:r>
          </w:p>
          <w:p w14:paraId="739998D0">
            <w:pPr>
              <w:autoSpaceDE w:val="0"/>
              <w:spacing w:line="380" w:lineRule="exact"/>
              <w:ind w:firstLine="456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24"/>
                <w:szCs w:val="24"/>
                <w14:ligatures w14:val="none"/>
              </w:rPr>
              <w:t>3）宣传册的质量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：0-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分。</w:t>
            </w:r>
          </w:p>
          <w:p w14:paraId="33A4A9CE">
            <w:pPr>
              <w:autoSpaceDE w:val="0"/>
              <w:spacing w:line="3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755843">
            <w:pPr>
              <w:autoSpaceDE w:val="0"/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  <w14:ligatures w14:val="none"/>
              </w:rPr>
              <w:t>18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14:ligatures w14:val="none"/>
              </w:rPr>
              <w:t>分</w:t>
            </w:r>
          </w:p>
        </w:tc>
      </w:tr>
    </w:tbl>
    <w:p w14:paraId="15B892EF"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 w14:paraId="5FD16624"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金山简黑体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3NmRjY2QyZjNhNGNkYjJjMTA4YzIxYzk3OWNmYTIifQ=="/>
  </w:docVars>
  <w:rsids>
    <w:rsidRoot w:val="004C3830"/>
    <w:rsid w:val="00011262"/>
    <w:rsid w:val="0001564C"/>
    <w:rsid w:val="000808DE"/>
    <w:rsid w:val="000B2EFD"/>
    <w:rsid w:val="00114F98"/>
    <w:rsid w:val="00131030"/>
    <w:rsid w:val="001314C7"/>
    <w:rsid w:val="00134447"/>
    <w:rsid w:val="00146AA7"/>
    <w:rsid w:val="001C094D"/>
    <w:rsid w:val="001C095A"/>
    <w:rsid w:val="002162F8"/>
    <w:rsid w:val="00251728"/>
    <w:rsid w:val="00256D05"/>
    <w:rsid w:val="00286CD3"/>
    <w:rsid w:val="002B2962"/>
    <w:rsid w:val="002E5A6A"/>
    <w:rsid w:val="00300660"/>
    <w:rsid w:val="003026E5"/>
    <w:rsid w:val="00311889"/>
    <w:rsid w:val="00334178"/>
    <w:rsid w:val="003D095E"/>
    <w:rsid w:val="00400158"/>
    <w:rsid w:val="004431EA"/>
    <w:rsid w:val="00445F93"/>
    <w:rsid w:val="004C3830"/>
    <w:rsid w:val="004E31D1"/>
    <w:rsid w:val="004F4832"/>
    <w:rsid w:val="00503A69"/>
    <w:rsid w:val="005047A7"/>
    <w:rsid w:val="005C3431"/>
    <w:rsid w:val="005D5CCD"/>
    <w:rsid w:val="005E2492"/>
    <w:rsid w:val="00632365"/>
    <w:rsid w:val="00653A37"/>
    <w:rsid w:val="006755DB"/>
    <w:rsid w:val="006D07C6"/>
    <w:rsid w:val="006D3B4E"/>
    <w:rsid w:val="006F1F9D"/>
    <w:rsid w:val="0071184A"/>
    <w:rsid w:val="00720BFE"/>
    <w:rsid w:val="0072677A"/>
    <w:rsid w:val="0074639E"/>
    <w:rsid w:val="00775266"/>
    <w:rsid w:val="007B5F9A"/>
    <w:rsid w:val="007C6F8F"/>
    <w:rsid w:val="007D2BC6"/>
    <w:rsid w:val="007E4E9D"/>
    <w:rsid w:val="007F69FF"/>
    <w:rsid w:val="0084044A"/>
    <w:rsid w:val="00852027"/>
    <w:rsid w:val="0088585B"/>
    <w:rsid w:val="008C4E30"/>
    <w:rsid w:val="008E4512"/>
    <w:rsid w:val="008F2070"/>
    <w:rsid w:val="009131C3"/>
    <w:rsid w:val="009333C8"/>
    <w:rsid w:val="009340F7"/>
    <w:rsid w:val="009856AC"/>
    <w:rsid w:val="009D304F"/>
    <w:rsid w:val="009D75D4"/>
    <w:rsid w:val="00A14E79"/>
    <w:rsid w:val="00A83F00"/>
    <w:rsid w:val="00AC2C95"/>
    <w:rsid w:val="00B31563"/>
    <w:rsid w:val="00B42623"/>
    <w:rsid w:val="00B5082A"/>
    <w:rsid w:val="00B67726"/>
    <w:rsid w:val="00BD11DE"/>
    <w:rsid w:val="00C03B03"/>
    <w:rsid w:val="00C4723C"/>
    <w:rsid w:val="00C84DB5"/>
    <w:rsid w:val="00D40008"/>
    <w:rsid w:val="00D91BB1"/>
    <w:rsid w:val="00DE2111"/>
    <w:rsid w:val="00DE6839"/>
    <w:rsid w:val="00E06E3F"/>
    <w:rsid w:val="00E62A65"/>
    <w:rsid w:val="00ED4F1D"/>
    <w:rsid w:val="00F278A2"/>
    <w:rsid w:val="00F65FBD"/>
    <w:rsid w:val="00F83340"/>
    <w:rsid w:val="00F91576"/>
    <w:rsid w:val="00F96085"/>
    <w:rsid w:val="09125FD6"/>
    <w:rsid w:val="29E554EA"/>
    <w:rsid w:val="2A6953B9"/>
    <w:rsid w:val="2F902295"/>
    <w:rsid w:val="344B7D07"/>
    <w:rsid w:val="44FD506E"/>
    <w:rsid w:val="58A42155"/>
    <w:rsid w:val="6BD83E38"/>
    <w:rsid w:val="6E7C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5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6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7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8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9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10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1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adjustRightInd/>
      <w:spacing w:after="120" w:line="240" w:lineRule="auto"/>
      <w:ind w:firstLine="420" w:firstLineChars="100"/>
      <w:jc w:val="both"/>
    </w:pPr>
    <w:rPr>
      <w:rFonts w:ascii="Times New Roman"/>
      <w:kern w:val="2"/>
      <w:sz w:val="21"/>
      <w:szCs w:val="24"/>
    </w:rPr>
  </w:style>
  <w:style w:type="paragraph" w:styleId="3">
    <w:name w:val="Body Text"/>
    <w:basedOn w:val="1"/>
    <w:next w:val="2"/>
    <w:unhideWhenUsed/>
    <w:qFormat/>
    <w:uiPriority w:val="99"/>
    <w:rPr>
      <w:rFonts w:ascii="金山简黑体" w:hAnsi="金山简黑体" w:eastAsia="金山简黑体"/>
      <w:b/>
      <w:spacing w:val="-8"/>
      <w:sz w:val="44"/>
      <w:szCs w:val="20"/>
    </w:rPr>
  </w:style>
  <w:style w:type="paragraph" w:styleId="4">
    <w:name w:val="toc 6"/>
    <w:basedOn w:val="1"/>
    <w:next w:val="1"/>
    <w:qFormat/>
    <w:uiPriority w:val="39"/>
    <w:pPr>
      <w:widowControl w:val="0"/>
      <w:autoSpaceDE/>
      <w:autoSpaceDN/>
      <w:spacing w:before="0" w:after="0" w:line="240" w:lineRule="auto"/>
      <w:ind w:left="1050" w:firstLine="0"/>
      <w:jc w:val="both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paragraph" w:styleId="14">
    <w:name w:val="Body Text Indent"/>
    <w:basedOn w:val="1"/>
    <w:next w:val="15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paragraph" w:styleId="1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Body Text First Indent 2"/>
    <w:basedOn w:val="14"/>
    <w:next w:val="19"/>
    <w:qFormat/>
    <w:uiPriority w:val="0"/>
    <w:pPr>
      <w:adjustRightInd/>
      <w:spacing w:after="120" w:afterLines="0" w:line="240" w:lineRule="auto"/>
      <w:ind w:left="420" w:leftChars="200" w:firstLine="210"/>
    </w:pPr>
    <w:rPr>
      <w:sz w:val="21"/>
    </w:rPr>
  </w:style>
  <w:style w:type="paragraph" w:customStyle="1" w:styleId="19">
    <w:name w:val="xl53"/>
    <w:basedOn w:val="1"/>
    <w:next w:val="1"/>
    <w:qFormat/>
    <w:uiPriority w:val="0"/>
    <w:pPr>
      <w:spacing w:before="280" w:after="280" w:line="100" w:lineRule="exact"/>
      <w:jc w:val="center"/>
    </w:pPr>
    <w:rPr>
      <w:b/>
      <w:sz w:val="20"/>
    </w:rPr>
  </w:style>
  <w:style w:type="character" w:customStyle="1" w:styleId="22">
    <w:name w:val="标题 1 字符"/>
    <w:basedOn w:val="21"/>
    <w:link w:val="5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1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1"/>
    <w:link w:val="7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1"/>
    <w:link w:val="8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1"/>
    <w:link w:val="9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1"/>
    <w:link w:val="10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1"/>
    <w:link w:val="11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1"/>
    <w:link w:val="12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1"/>
    <w:link w:val="13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2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1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2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1421</Words>
  <Characters>1463</Characters>
  <Lines>24</Lines>
  <Paragraphs>6</Paragraphs>
  <TotalTime>10</TotalTime>
  <ScaleCrop>false</ScaleCrop>
  <LinksUpToDate>false</LinksUpToDate>
  <CharactersWithSpaces>1467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2025-03-05T08:53:00Z</dcterms:created>
  <dc:creator>黄浦 陈</dc:creator>
  <cp:lastModifiedBy>cgzx</cp:lastModifiedBy>
  <cp:lastPrinted>2025-03-10T06:37:00Z</cp:lastPrinted>
  <dcterms:modified xsi:type="dcterms:W3CDTF">2025-03-12T05:48:54Z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3CC273C5CEE74524AAA80BA1FFDB32BC_12</vt:lpwstr>
  </property>
</Properties>
</file>